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746E8E2D" w:rsidR="007D3C88" w:rsidRPr="005870CD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eastAsia="BundesSerif Office" w:hAnsi="BundesSerif Office" w:cs="Times New Roman"/>
          <w:b/>
        </w:rPr>
        <w:t>Fünfzehn (15) neue Minibusse mit Rollstuhlrampe inkl. optionaler Aufstockung sieben (7) weitere neue Minibusse mit Rollstuhlrampe</w:t>
      </w:r>
      <w:bookmarkEnd w:id="0"/>
    </w:p>
    <w:p w14:paraId="361413AE" w14:textId="37B8810A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eastAsia="BundesSerif Office" w:hAnsi="BundesSerif Office" w:cs="Times New Roman"/>
          <w:b/>
        </w:rPr>
        <w:t>10032253</w:t>
      </w:r>
      <w:bookmarkEnd w:id="1"/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8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910987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eur-lex.europa.eu/legal-content/EN/TXT/?uri=CELEX:02014R0833-20231001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2024-09-03T15:37:00Z</dcterms:created>
  <dc:creator>Mirjam Hannah Steinfeld</dc:creator>
  <cp:lastModifiedBy>Stephan Vielhaber</cp:lastModifiedBy>
  <cp:lastPrinted>2022-04-27T12:42:00Z</cp:lastPrinted>
  <dcterms:modified xsi:type="dcterms:W3CDTF">2025-03-28T10:20:00Z</dcterms:modified>
  <cp:revision>22</cp:revision>
</cp:coreProperties>
</file>